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b w:val="1"/>
          <w:i w:val="1"/>
        </w:rPr>
      </w:pPr>
      <w:r w:rsidDel="00000000" w:rsidR="00000000" w:rsidRPr="00000000">
        <w:rPr>
          <w:b w:val="1"/>
          <w:i w:val="1"/>
          <w:rtl w:val="1"/>
        </w:rPr>
        <w:t xml:space="preserve">قانون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الإقامة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الجديد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في</w:t>
      </w:r>
      <w:r w:rsidDel="00000000" w:rsidR="00000000" w:rsidRPr="00000000">
        <w:rPr>
          <w:b w:val="1"/>
          <w:i w:val="1"/>
          <w:rtl w:val="1"/>
        </w:rPr>
        <w:t xml:space="preserve"> </w:t>
      </w:r>
      <w:r w:rsidDel="00000000" w:rsidR="00000000" w:rsidRPr="00000000">
        <w:rPr>
          <w:b w:val="1"/>
          <w:i w:val="1"/>
          <w:rtl w:val="1"/>
        </w:rPr>
        <w:t xml:space="preserve">الكويت</w:t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المفعول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معترف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المذكورة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1"/>
        </w:rPr>
        <w:t xml:space="preserve">ويستثنى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مواطنو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التعاون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كتفى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بالنسبة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rPr>
          <w:rtl w:val="1"/>
        </w:rPr>
        <w:t xml:space="preserve">ويضع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بالتنسيق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2: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3: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رعايا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بالمثل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4: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الخروج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تخصص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5: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ربابنة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والطائرات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وسائقي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الحافلات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والسيارات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كشفا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طاقم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طائراتهم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مساعدي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سائقي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حافلاتهم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وسياراتهم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وركابها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والبيانات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بأسماء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الركاب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يحملون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يتبي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المفعول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يمنعوهم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الحافلة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الوصول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المغادرة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إخطار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1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6: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رزق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بمولود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بجواز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المولود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لحصوله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لمغادرة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7: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يقدموا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يجيبوا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يسألون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بيانات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يراجعوا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الميعاد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الوثيقة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يبلغوا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أسبوعين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التلف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8: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الفنادق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المفروشة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للإيجار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ينزلون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منشآتهم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يغادرونها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مغادرتهم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يحتفظوا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بالدفاتر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والسجلات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بإقامتهم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rPr/>
      </w:pP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بتحديدهم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الدفاتر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والسجلات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وضبط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التفتيش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وإحالتها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1"/>
        </w:rPr>
        <w:t xml:space="preserve">ويصدر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الشأن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9: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10: </w:t>
      </w:r>
      <w:r w:rsidDel="00000000" w:rsidR="00000000" w:rsidRPr="00000000">
        <w:rPr>
          <w:rtl w:val="1"/>
        </w:rPr>
        <w:t xml:space="preserve">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للمواطن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لزوجته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للمواطنة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لزوجها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وأبنائها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بالتبعية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زواجها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بكويتي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8: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الفنادق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والمساكن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المفروشة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للإيجار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ينزلون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منشآتهم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يغادرونها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وعشرين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نزولهم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مغادرتهم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يحتفظوا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بالدفاتر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والسجلات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بإقامتهم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/>
      </w:pPr>
      <w:r w:rsidDel="00000000" w:rsidR="00000000" w:rsidRPr="00000000">
        <w:rPr>
          <w:rtl w:val="1"/>
        </w:rPr>
        <w:t xml:space="preserve">ويكون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بتحديدهم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الاطلاع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الدفاتر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والسجلات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وضبط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تظهر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التفتيش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وتحرير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بشأنها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وإحالتها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rPr/>
      </w:pPr>
      <w:r w:rsidDel="00000000" w:rsidR="00000000" w:rsidRPr="00000000">
        <w:rPr>
          <w:rtl w:val="1"/>
        </w:rPr>
        <w:t xml:space="preserve">ويصدر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الشأن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rPr/>
      </w:pP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الثالث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2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9: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10: </w:t>
      </w:r>
      <w:r w:rsidDel="00000000" w:rsidR="00000000" w:rsidRPr="00000000">
        <w:rPr>
          <w:rtl w:val="1"/>
        </w:rPr>
        <w:t xml:space="preserve">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للمواطن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لزوجته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للمواطنة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لزوجها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وأبنائها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الجنسية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بالتبعية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زواجها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بكويتي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1"/>
        </w:rPr>
        <w:t xml:space="preserve">ويحق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لأرملة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ولديها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11: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بقصد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الزيارة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المغادرة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12: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انتهائها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1"/>
        </w:rPr>
        <w:t xml:space="preserve">ويحدد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والأوضاع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الموقتة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13: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rPr>
          <w:rtl w:val="1"/>
        </w:rPr>
        <w:t xml:space="preserve">ويجوز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وملاك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والفئات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بتحديدهم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للمستثمرين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الخاضعين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(116) </w:t>
      </w:r>
      <w:r w:rsidDel="00000000" w:rsidR="00000000" w:rsidRPr="00000000">
        <w:rPr>
          <w:rtl w:val="1"/>
        </w:rPr>
        <w:t xml:space="preserve">لسنة</w:t>
      </w:r>
      <w:r w:rsidDel="00000000" w:rsidR="00000000" w:rsidRPr="00000000">
        <w:rPr>
          <w:rtl w:val="1"/>
        </w:rPr>
        <w:t xml:space="preserve"> 2013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تشجيع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المباشر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بتحديد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الشأن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D">
      <w:pPr>
        <w:bidi w:val="1"/>
        <w:rPr/>
      </w:pPr>
      <w:r w:rsidDel="00000000" w:rsidR="00000000" w:rsidRPr="00000000">
        <w:rPr>
          <w:rtl w:val="1"/>
        </w:rPr>
        <w:t xml:space="preserve">ويتعين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rPr/>
      </w:pP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انقضت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تجديدها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bidi w:val="1"/>
        <w:rPr/>
      </w:pP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مستثمرا</w:t>
      </w:r>
      <w:r w:rsidDel="00000000" w:rsidR="00000000" w:rsidRPr="00000000">
        <w:rPr>
          <w:rtl w:val="1"/>
        </w:rPr>
        <w:t xml:space="preserve">ً،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rPr/>
      </w:pPr>
      <w:r w:rsidDel="00000000" w:rsidR="00000000" w:rsidRPr="00000000">
        <w:rPr>
          <w:rtl w:val="1"/>
        </w:rPr>
        <w:t xml:space="preserve">ويحدد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وإجراءات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14: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طبقا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استقدامه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1"/>
        </w:rPr>
        <w:t xml:space="preserve">ويجب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أسبوعين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ألغيت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جديدة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الأحوال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تحويل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تقتضيها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يتوافق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سقط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15: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13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حاملا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لجواز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بتجديدها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بموافقة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حسب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الأحوال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إخطار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الموظف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أسبوعين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16: </w:t>
      </w:r>
      <w:r w:rsidDel="00000000" w:rsidR="00000000" w:rsidRPr="00000000">
        <w:rPr>
          <w:rtl w:val="1"/>
        </w:rPr>
        <w:t xml:space="preserve">يجب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مستقدمي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إخطار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بانتهاء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4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17: </w:t>
      </w:r>
      <w:r w:rsidDel="00000000" w:rsidR="00000000" w:rsidRPr="00000000">
        <w:rPr>
          <w:rtl w:val="1"/>
        </w:rPr>
        <w:t xml:space="preserve">تحدد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وتجديدها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أنواع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ويعفى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الحاصلون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تراخيص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10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(1)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يحددها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الرابع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الاتجار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والجرائم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18: </w:t>
      </w:r>
      <w:r w:rsidDel="00000000" w:rsidR="00000000" w:rsidRPr="00000000">
        <w:rPr>
          <w:rtl w:val="1"/>
        </w:rPr>
        <w:t xml:space="preserve">يحظر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استغلال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تسهيل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بموجب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تجديدها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نظير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منفعة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للنفس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حقيقي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مزعوم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لتشغيل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الأهلي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19: </w:t>
      </w:r>
      <w:r w:rsidDel="00000000" w:rsidR="00000000" w:rsidRPr="00000000">
        <w:rPr>
          <w:rtl w:val="1"/>
        </w:rPr>
        <w:t xml:space="preserve">يحظر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تشغيله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استقدامه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تمكينه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تسهيل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الامتناع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سداد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مستحقاته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الحكومية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الجهات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الأحوال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منتهية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يحظر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إسكانه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الخامس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قواعد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وإخراج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20: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بإبعاد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معينة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حاصلا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6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1 -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للكسب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2 -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3 -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إبعاده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تستدعيه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المصلحة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الآداب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21: </w:t>
      </w:r>
      <w:r w:rsidDel="00000000" w:rsidR="00000000" w:rsidRPr="00000000">
        <w:rPr>
          <w:rtl w:val="1"/>
        </w:rPr>
        <w:t xml:space="preserve">يجور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يشمل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بإعالتهم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22: </w:t>
      </w:r>
      <w:r w:rsidDel="00000000" w:rsidR="00000000" w:rsidRPr="00000000">
        <w:rPr>
          <w:rtl w:val="1"/>
        </w:rPr>
        <w:t xml:space="preserve">يحوز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بإبعاده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30 </w:t>
      </w:r>
      <w:r w:rsidDel="00000000" w:rsidR="00000000" w:rsidRPr="00000000">
        <w:rPr>
          <w:rtl w:val="1"/>
        </w:rPr>
        <w:t xml:space="preserve">يوما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قابلة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للتجديد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الممنوحة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التوقيف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ضروريا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الإبعاد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C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23: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إخراج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حاصلا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الترخيص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توافرت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لدخولها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tl w:val="1"/>
        </w:rPr>
        <w:t xml:space="preserve">ويجوز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إعفاء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إخراجه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إبعاده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الغرامات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مغادرته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24: </w:t>
      </w:r>
      <w:r w:rsidDel="00000000" w:rsidR="00000000" w:rsidRPr="00000000">
        <w:rPr>
          <w:rtl w:val="1"/>
        </w:rPr>
        <w:t xml:space="preserve">يتحمل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صاحب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إخراج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bidi w:val="1"/>
        <w:rPr/>
      </w:pPr>
      <w:r w:rsidDel="00000000" w:rsidR="00000000" w:rsidRPr="00000000">
        <w:rPr>
          <w:rtl w:val="1"/>
        </w:rPr>
        <w:t xml:space="preserve">واستثناء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يتحمل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19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إبعاده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إخراجه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rPr/>
      </w:pPr>
      <w:r w:rsidDel="00000000" w:rsidR="00000000" w:rsidRPr="00000000">
        <w:rPr>
          <w:rtl w:val="1"/>
        </w:rPr>
        <w:t xml:space="preserve">ويجوز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نفقات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إخراج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25: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بإبعاده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بإخراجه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تقتضي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أعطي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مهلة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للتصفية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ضوابط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المهلة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26: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سبق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إبعاده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9">
      <w:pPr>
        <w:bidi w:val="1"/>
        <w:rPr/>
      </w:pP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السادس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العقوبات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7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27: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600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2000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(6)، (14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2)، (15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4)، (16)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rPr/>
      </w:pPr>
      <w:r w:rsidDel="00000000" w:rsidR="00000000" w:rsidRPr="00000000">
        <w:rPr>
          <w:rtl w:val="1"/>
        </w:rPr>
        <w:t xml:space="preserve">ويعاقب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400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(5)، (7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2)، (8)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7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rPr/>
      </w:pPr>
      <w:r w:rsidDel="00000000" w:rsidR="00000000" w:rsidRPr="00000000">
        <w:rPr>
          <w:rtl w:val="1"/>
        </w:rPr>
        <w:t xml:space="preserve">ويعاقب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600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1200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(9)، (12)، (13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5)، (14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3)، (15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2)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rPr/>
      </w:pPr>
      <w:r w:rsidDel="00000000" w:rsidR="00000000" w:rsidRPr="00000000">
        <w:rPr>
          <w:rtl w:val="1"/>
        </w:rPr>
        <w:t xml:space="preserve">ويعاقب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1000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2000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(11)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rPr/>
      </w:pPr>
      <w:r w:rsidDel="00000000" w:rsidR="00000000" w:rsidRPr="00000000">
        <w:rPr>
          <w:rtl w:val="1"/>
        </w:rPr>
        <w:t xml:space="preserve">ويعاقب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600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(1)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rPr/>
      </w:pPr>
      <w:r w:rsidDel="00000000" w:rsidR="00000000" w:rsidRPr="00000000">
        <w:rPr>
          <w:rtl w:val="1"/>
        </w:rPr>
        <w:t xml:space="preserve">ويعاقب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1000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3000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المادتين</w:t>
      </w:r>
      <w:r w:rsidDel="00000000" w:rsidR="00000000" w:rsidRPr="00000000">
        <w:rPr>
          <w:rtl w:val="1"/>
        </w:rPr>
        <w:t xml:space="preserve"> (4)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(26)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3000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5000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العقوبتين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6">
      <w:pPr>
        <w:bidi w:val="1"/>
        <w:rPr/>
      </w:pPr>
      <w:r w:rsidDel="00000000" w:rsidR="00000000" w:rsidRPr="00000000">
        <w:rPr>
          <w:rtl w:val="1"/>
        </w:rPr>
        <w:t xml:space="preserve">ويعاقب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5000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10000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(19)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المادتين</w:t>
      </w:r>
      <w:r w:rsidDel="00000000" w:rsidR="00000000" w:rsidRPr="00000000">
        <w:rPr>
          <w:rtl w:val="1"/>
        </w:rPr>
        <w:t xml:space="preserve"> (1)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(4)،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بمصادرة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لتسهيل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ارتكاب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والمبالغ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المتحصلة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الوسيلة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مملوكة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28: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ثلاث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خمس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5000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10000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(18)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وتضاعف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موظفا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عاما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يعمل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نطاق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وظيفته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العود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تضاعف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السابقة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rPr/>
      </w:pP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الاتجار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اعتباري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5000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10000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ارتكب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لحسابه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وتتعدد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بالغاء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الترخيص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بمزاولة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المسؤول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الشخص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الاعتباري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مسماه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الفقرة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بالحبس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تجاوز</w:t>
      </w:r>
      <w:r w:rsidDel="00000000" w:rsidR="00000000" w:rsidRPr="00000000">
        <w:rPr>
          <w:rtl w:val="1"/>
        </w:rPr>
        <w:t xml:space="preserve"> 1000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بإحدى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هاتين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العقوبتين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التصريح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منفعة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بذلك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بإبلاغ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السلطات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حصوله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التصريح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29: </w:t>
      </w:r>
      <w:r w:rsidDel="00000000" w:rsidR="00000000" w:rsidRPr="00000000">
        <w:rPr>
          <w:rtl w:val="1"/>
        </w:rPr>
        <w:t xml:space="preserve">تختص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والتصرف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والادعاء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الجرائم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المترتبة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الإتجار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30: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عاقب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100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200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المنفذة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31: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قبول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(6)، (7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2)، (9)، (11)، (12)، (13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5)، (14)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2 - 3)، (15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2 - 4)، (16)، (19)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المنفذة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وفقا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للأسس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التالية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bidi w:val="1"/>
        <w:rPr/>
      </w:pPr>
      <w:r w:rsidDel="00000000" w:rsidR="00000000" w:rsidRPr="00000000">
        <w:rPr>
          <w:rtl w:val="1"/>
        </w:rPr>
        <w:t xml:space="preserve">أولا</w:t>
      </w:r>
      <w:r w:rsidDel="00000000" w:rsidR="00000000" w:rsidRPr="00000000">
        <w:rPr>
          <w:rtl w:val="1"/>
        </w:rPr>
        <w:t xml:space="preserve">ً: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دنانير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(11).</w:t>
      </w:r>
    </w:p>
    <w:p w:rsidR="00000000" w:rsidDel="00000000" w:rsidP="00000000" w:rsidRDefault="00000000" w:rsidRPr="00000000" w14:paraId="0000009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rPr/>
      </w:pPr>
      <w:r w:rsidDel="00000000" w:rsidR="00000000" w:rsidRPr="00000000">
        <w:rPr>
          <w:rtl w:val="1"/>
        </w:rPr>
        <w:t xml:space="preserve">ثانيا</w:t>
      </w:r>
      <w:r w:rsidDel="00000000" w:rsidR="00000000" w:rsidRPr="00000000">
        <w:rPr>
          <w:rtl w:val="1"/>
        </w:rPr>
        <w:t xml:space="preserve">ً: -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دينارين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دنانير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المواد</w:t>
      </w:r>
      <w:r w:rsidDel="00000000" w:rsidR="00000000" w:rsidRPr="00000000">
        <w:rPr>
          <w:rtl w:val="1"/>
        </w:rPr>
        <w:t xml:space="preserve"> (6)، (7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2)، (9)، (12)، (13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5)، (14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2 - 3)، (15 </w:t>
      </w:r>
      <w:r w:rsidDel="00000000" w:rsidR="00000000" w:rsidRPr="00000000">
        <w:rPr>
          <w:rtl w:val="1"/>
        </w:rPr>
        <w:t xml:space="preserve">فقرة</w:t>
      </w:r>
      <w:r w:rsidDel="00000000" w:rsidR="00000000" w:rsidRPr="00000000">
        <w:rPr>
          <w:rtl w:val="1"/>
        </w:rPr>
        <w:t xml:space="preserve"> 2 - 4).</w:t>
      </w:r>
    </w:p>
    <w:p w:rsidR="00000000" w:rsidDel="00000000" w:rsidP="00000000" w:rsidRDefault="00000000" w:rsidRPr="00000000" w14:paraId="0000009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دينارين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المنزلية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وبحد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أقصى</w:t>
      </w:r>
      <w:r w:rsidDel="00000000" w:rsidR="00000000" w:rsidRPr="00000000">
        <w:rPr>
          <w:rtl w:val="1"/>
        </w:rPr>
        <w:t xml:space="preserve"> 600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bidi w:val="1"/>
        <w:rPr/>
      </w:pPr>
      <w:r w:rsidDel="00000000" w:rsidR="00000000" w:rsidRPr="00000000">
        <w:rPr>
          <w:rtl w:val="1"/>
        </w:rPr>
        <w:t xml:space="preserve">ثالثا</w:t>
      </w:r>
      <w:r w:rsidDel="00000000" w:rsidR="00000000" w:rsidRPr="00000000">
        <w:rPr>
          <w:rtl w:val="1"/>
        </w:rPr>
        <w:t xml:space="preserve">ً: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عشرة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دنانير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(16)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دخول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للزيارة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دنانير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الحالات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الأخرى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bidi w:val="1"/>
        <w:rPr/>
      </w:pPr>
      <w:r w:rsidDel="00000000" w:rsidR="00000000" w:rsidRPr="00000000">
        <w:rPr>
          <w:rtl w:val="1"/>
        </w:rPr>
        <w:t xml:space="preserve">رابعا</w:t>
      </w:r>
      <w:r w:rsidDel="00000000" w:rsidR="00000000" w:rsidRPr="00000000">
        <w:rPr>
          <w:rtl w:val="1"/>
        </w:rPr>
        <w:t xml:space="preserve">ً: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3 </w:t>
      </w:r>
      <w:r w:rsidDel="00000000" w:rsidR="00000000" w:rsidRPr="00000000">
        <w:rPr>
          <w:rtl w:val="1"/>
        </w:rPr>
        <w:t xml:space="preserve">آلاف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دينار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مخالفة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(19)، </w:t>
      </w:r>
      <w:r w:rsidDel="00000000" w:rsidR="00000000" w:rsidRPr="00000000">
        <w:rPr>
          <w:rtl w:val="1"/>
        </w:rPr>
        <w:t xml:space="preserve">ويتعدد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الأجانب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المخالفين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0">
      <w:pPr>
        <w:bidi w:val="1"/>
        <w:rPr/>
      </w:pPr>
      <w:r w:rsidDel="00000000" w:rsidR="00000000" w:rsidRPr="00000000">
        <w:rPr>
          <w:rtl w:val="1"/>
        </w:rPr>
        <w:t xml:space="preserve">وفي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الأحوال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الأقصى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لعقوبة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للجريمة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rPr/>
      </w:pPr>
      <w:r w:rsidDel="00000000" w:rsidR="00000000" w:rsidRPr="00000000">
        <w:rPr>
          <w:rtl w:val="1"/>
        </w:rPr>
        <w:t xml:space="preserve">ويتم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للجهة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المختصة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ويترتب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دفع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الدعوى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الجزائية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آثارها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1"/>
        </w:rPr>
        <w:t xml:space="preserve">ويجوز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رفض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يبر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bidi w:val="1"/>
        <w:rPr/>
      </w:pP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السابع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عامة</w:t>
      </w:r>
      <w:r w:rsidDel="00000000" w:rsidR="00000000" w:rsidRPr="00000000">
        <w:rPr>
          <w:rtl w:val="1"/>
        </w:rPr>
        <w:t xml:space="preserve">)</w:t>
      </w:r>
    </w:p>
    <w:p w:rsidR="00000000" w:rsidDel="00000000" w:rsidP="00000000" w:rsidRDefault="00000000" w:rsidRPr="00000000" w14:paraId="000000A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32: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ستثنى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تطبيق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رؤساء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وأفراد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سرهم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/>
      </w:pP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رؤساء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وموظفو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البعثات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الدبلوماسية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سرهم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بالمثل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rPr/>
      </w:pP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حاملو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الجوازات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الدبلوماسية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والخاصة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السياسي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بشرط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بالمثل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/>
      </w:pP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الأشخاص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استثناءهم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بإذن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لاعتبارات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تتعلق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بالمجاملات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33: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تخل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بالاتفاقيات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المتعلقة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بالإقامة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تكون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دولة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الكويت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طرفا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3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34: </w:t>
      </w:r>
      <w:r w:rsidDel="00000000" w:rsidR="00000000" w:rsidRPr="00000000">
        <w:rPr>
          <w:rtl w:val="1"/>
        </w:rPr>
        <w:t xml:space="preserve">يستمر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باللوائح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التنفيذية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(17) </w:t>
      </w:r>
      <w:r w:rsidDel="00000000" w:rsidR="00000000" w:rsidRPr="00000000">
        <w:rPr>
          <w:rtl w:val="1"/>
        </w:rPr>
        <w:t xml:space="preserve">لسنة</w:t>
      </w:r>
      <w:r w:rsidDel="00000000" w:rsidR="00000000" w:rsidRPr="00000000">
        <w:rPr>
          <w:rtl w:val="1"/>
        </w:rPr>
        <w:t xml:space="preserve"> 1959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يصدر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وزير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الداخلية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اللوائح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والقرارات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تاريخ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35: 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لغى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الأميري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رقم</w:t>
      </w:r>
      <w:r w:rsidDel="00000000" w:rsidR="00000000" w:rsidRPr="00000000">
        <w:rPr>
          <w:rtl w:val="1"/>
        </w:rPr>
        <w:t xml:space="preserve"> (17) </w:t>
      </w:r>
      <w:r w:rsidDel="00000000" w:rsidR="00000000" w:rsidRPr="00000000">
        <w:rPr>
          <w:rtl w:val="1"/>
        </w:rPr>
        <w:t xml:space="preserve">لسنة</w:t>
      </w:r>
      <w:r w:rsidDel="00000000" w:rsidR="00000000" w:rsidRPr="00000000">
        <w:rPr>
          <w:rtl w:val="1"/>
        </w:rPr>
        <w:t xml:space="preserve"> 1959 </w:t>
      </w:r>
      <w:r w:rsidDel="00000000" w:rsidR="00000000" w:rsidRPr="00000000">
        <w:rPr>
          <w:rtl w:val="1"/>
        </w:rPr>
        <w:t xml:space="preserve">المشار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يخالف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أحكام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B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rPr/>
      </w:pPr>
      <w:r w:rsidDel="00000000" w:rsidR="00000000" w:rsidRPr="00000000">
        <w:rPr>
          <w:rtl w:val="1"/>
        </w:rPr>
        <w:t xml:space="preserve">مادة</w:t>
      </w:r>
      <w:r w:rsidDel="00000000" w:rsidR="00000000" w:rsidRPr="00000000">
        <w:rPr>
          <w:rtl w:val="1"/>
        </w:rPr>
        <w:t xml:space="preserve"> 36: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الوزراء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يخصه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تنفيذ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المرسوم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بقانون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وينشر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الجريدة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الرسمية</w:t>
      </w:r>
      <w:r w:rsidDel="00000000" w:rsidR="00000000" w:rsidRPr="00000000">
        <w:rPr>
          <w:rtl w:val="1"/>
        </w:rPr>
        <w:t xml:space="preserve">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